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FF4" w:rsidRDefault="00123FF4" w:rsidP="00123FF4">
      <w:pPr>
        <w:jc w:val="center"/>
      </w:pPr>
      <w:r>
        <w:t>GATE Training Program</w:t>
      </w:r>
      <w:r w:rsidR="00993DE7">
        <w:t xml:space="preserve"> - 2019</w:t>
      </w:r>
    </w:p>
    <w:p w:rsidR="00123FF4" w:rsidRDefault="00123FF4" w:rsidP="00123FF4">
      <w:pPr>
        <w:jc w:val="center"/>
      </w:pPr>
      <w:r>
        <w:t>TERMS OF REFERENCE (TOR)</w:t>
      </w:r>
    </w:p>
    <w:p w:rsidR="00123FF4" w:rsidRDefault="00123FF4" w:rsidP="00123FF4">
      <w:r>
        <w:t xml:space="preserve"> </w:t>
      </w:r>
    </w:p>
    <w:p w:rsidR="002F2017" w:rsidRDefault="00123FF4" w:rsidP="002F2017">
      <w:pPr>
        <w:pStyle w:val="ListParagraph"/>
        <w:numPr>
          <w:ilvl w:val="1"/>
          <w:numId w:val="1"/>
        </w:numPr>
      </w:pPr>
      <w:r>
        <w:t xml:space="preserve">Statement of </w:t>
      </w:r>
      <w:r w:rsidR="002F2017">
        <w:t>objectives:</w:t>
      </w:r>
    </w:p>
    <w:p w:rsidR="00123FF4" w:rsidRDefault="002F2017" w:rsidP="002F2017">
      <w:pPr>
        <w:jc w:val="both"/>
      </w:pPr>
      <w:r>
        <w:t xml:space="preserve"> The</w:t>
      </w:r>
      <w:r w:rsidR="00123FF4">
        <w:t xml:space="preserve"> purpose of this TOR is to identify an agency preparing 4th year students (under graduate Engineering courses) by imparting required training for preparing them for GATE. The focus of providing this shall be to polish their conceptual skills, help them </w:t>
      </w:r>
      <w:r>
        <w:t xml:space="preserve">to qualify GATE </w:t>
      </w:r>
      <w:r w:rsidR="00123FF4">
        <w:t xml:space="preserve">examination </w:t>
      </w:r>
    </w:p>
    <w:p w:rsidR="002F2017" w:rsidRDefault="00123FF4" w:rsidP="002F2017">
      <w:pPr>
        <w:jc w:val="both"/>
      </w:pPr>
      <w:r>
        <w:t xml:space="preserve"> The </w:t>
      </w:r>
      <w:r w:rsidR="002F2017">
        <w:t>training</w:t>
      </w:r>
      <w:r>
        <w:t xml:space="preserve"> agency has to impart necessary teaching on GATE covering basic courses, core courses and advanced courses related to each of the disciplines as per the curriculum and format for the GATE examination announced for that particular year. </w:t>
      </w:r>
      <w:r w:rsidR="002F2017">
        <w:t xml:space="preserve">The coaching should be done in such a way that the performance of the student </w:t>
      </w:r>
      <w:r>
        <w:t xml:space="preserve">in GATE examination is expected to improve. </w:t>
      </w:r>
    </w:p>
    <w:p w:rsidR="002F2017" w:rsidRDefault="00123FF4" w:rsidP="002F2017">
      <w:pPr>
        <w:jc w:val="both"/>
      </w:pPr>
      <w:r>
        <w:t xml:space="preserve">The </w:t>
      </w:r>
      <w:r w:rsidR="002F2017">
        <w:t xml:space="preserve">online </w:t>
      </w:r>
      <w:r>
        <w:t xml:space="preserve">training/ </w:t>
      </w:r>
      <w:r w:rsidR="002F2017">
        <w:t>course material</w:t>
      </w:r>
      <w:r>
        <w:t xml:space="preserve"> shall consist of different courses which may be given in one go to all final year </w:t>
      </w:r>
      <w:r w:rsidR="002F2017">
        <w:t>students of SJCE, who have registered for GATE examination 2019.</w:t>
      </w:r>
    </w:p>
    <w:p w:rsidR="002F2017" w:rsidRDefault="002F2017" w:rsidP="002F2017">
      <w:pPr>
        <w:jc w:val="both"/>
      </w:pPr>
    </w:p>
    <w:p w:rsidR="002F2017" w:rsidRDefault="00123FF4" w:rsidP="002F2017">
      <w:pPr>
        <w:jc w:val="both"/>
      </w:pPr>
      <w:r>
        <w:t xml:space="preserve">The broad objectives of the training shall be as given below: </w:t>
      </w:r>
    </w:p>
    <w:p w:rsidR="002F2017" w:rsidRDefault="00123FF4" w:rsidP="002F2017">
      <w:pPr>
        <w:pStyle w:val="ListParagraph"/>
        <w:numPr>
          <w:ilvl w:val="0"/>
          <w:numId w:val="2"/>
        </w:numPr>
        <w:jc w:val="both"/>
      </w:pPr>
      <w:r>
        <w:t xml:space="preserve">Enhance conceptual knowledge of students in particular course/ disciplines through Instructions particularly for solving novel problems in the respective area. </w:t>
      </w:r>
    </w:p>
    <w:p w:rsidR="002F2017" w:rsidRDefault="00123FF4" w:rsidP="002F2017">
      <w:pPr>
        <w:pStyle w:val="ListParagraph"/>
        <w:numPr>
          <w:ilvl w:val="0"/>
          <w:numId w:val="2"/>
        </w:numPr>
        <w:jc w:val="both"/>
      </w:pPr>
      <w:r>
        <w:t xml:space="preserve">Enable to apply the knowledge in different applications and expand their toolbox (of methods) to solve real life problems by becoming more skilled (technical) at explicitly thinking and applying processes. </w:t>
      </w:r>
    </w:p>
    <w:p w:rsidR="002F2017" w:rsidRDefault="00123FF4" w:rsidP="00D96E29">
      <w:pPr>
        <w:pStyle w:val="ListParagraph"/>
        <w:numPr>
          <w:ilvl w:val="0"/>
          <w:numId w:val="2"/>
        </w:numPr>
        <w:jc w:val="both"/>
      </w:pPr>
      <w:r>
        <w:t>Improve thinking skills to generalize as well as standardize the methods and concepts</w:t>
      </w:r>
      <w:r w:rsidR="002F2017">
        <w:t>.</w:t>
      </w:r>
    </w:p>
    <w:p w:rsidR="002F2017" w:rsidRDefault="00123FF4" w:rsidP="00D96E29">
      <w:pPr>
        <w:pStyle w:val="ListParagraph"/>
        <w:numPr>
          <w:ilvl w:val="0"/>
          <w:numId w:val="2"/>
        </w:numPr>
        <w:jc w:val="both"/>
      </w:pPr>
      <w:r>
        <w:t xml:space="preserve">Develop systematic methods for learning from problem sets, including: how to apply and transfer conceptual knowledge; identify common obstacles and errors; and contextualize individual problems within the themes and concepts of the course. </w:t>
      </w:r>
    </w:p>
    <w:p w:rsidR="002F2017" w:rsidRDefault="00123FF4" w:rsidP="00D96E29">
      <w:pPr>
        <w:pStyle w:val="ListParagraph"/>
        <w:numPr>
          <w:ilvl w:val="0"/>
          <w:numId w:val="2"/>
        </w:numPr>
        <w:jc w:val="both"/>
      </w:pPr>
      <w:r>
        <w:t xml:space="preserve">The </w:t>
      </w:r>
      <w:r w:rsidR="002F2017">
        <w:t xml:space="preserve">Training shall </w:t>
      </w:r>
      <w:r>
        <w:t>cover all the subjects as per the curriculum declared for GATE</w:t>
      </w:r>
      <w:r w:rsidR="002F2017">
        <w:t>-2019.</w:t>
      </w:r>
    </w:p>
    <w:p w:rsidR="00123FF4" w:rsidRDefault="00123FF4" w:rsidP="00D96E29">
      <w:pPr>
        <w:pStyle w:val="ListParagraph"/>
        <w:numPr>
          <w:ilvl w:val="0"/>
          <w:numId w:val="2"/>
        </w:numPr>
        <w:jc w:val="both"/>
      </w:pPr>
      <w:r>
        <w:t xml:space="preserve">To provide proper resources </w:t>
      </w:r>
      <w:r w:rsidR="002F2017">
        <w:t xml:space="preserve">to </w:t>
      </w:r>
      <w:r>
        <w:t>increas</w:t>
      </w:r>
      <w:r w:rsidR="002F2017">
        <w:t>e the number of GATE qualifiers at SJCE, Mysuru- 6</w:t>
      </w:r>
    </w:p>
    <w:p w:rsidR="00123FF4" w:rsidRDefault="00123FF4" w:rsidP="002F2017">
      <w:pPr>
        <w:jc w:val="both"/>
      </w:pPr>
      <w:r>
        <w:t xml:space="preserve"> </w:t>
      </w:r>
    </w:p>
    <w:p w:rsidR="00686C82" w:rsidRDefault="00686C82" w:rsidP="002F2017">
      <w:pPr>
        <w:jc w:val="both"/>
      </w:pPr>
    </w:p>
    <w:p w:rsidR="00686C82" w:rsidRDefault="00686C82" w:rsidP="002F2017">
      <w:pPr>
        <w:jc w:val="both"/>
      </w:pPr>
    </w:p>
    <w:p w:rsidR="00686C82" w:rsidRDefault="00686C82" w:rsidP="002F2017">
      <w:pPr>
        <w:jc w:val="both"/>
      </w:pPr>
    </w:p>
    <w:p w:rsidR="00686C82" w:rsidRDefault="00686C82" w:rsidP="002F2017">
      <w:pPr>
        <w:jc w:val="both"/>
      </w:pPr>
    </w:p>
    <w:p w:rsidR="00686C82" w:rsidRDefault="00686C82" w:rsidP="002F2017">
      <w:pPr>
        <w:jc w:val="both"/>
      </w:pPr>
    </w:p>
    <w:p w:rsidR="00686C82" w:rsidRDefault="00686C82" w:rsidP="002F2017">
      <w:pPr>
        <w:jc w:val="both"/>
      </w:pPr>
    </w:p>
    <w:p w:rsidR="00686C82" w:rsidRDefault="00686C82" w:rsidP="002F2017">
      <w:pPr>
        <w:jc w:val="both"/>
      </w:pPr>
    </w:p>
    <w:p w:rsidR="00686C82" w:rsidRDefault="00686C82" w:rsidP="002F2017">
      <w:pPr>
        <w:jc w:val="both"/>
      </w:pPr>
    </w:p>
    <w:p w:rsidR="00686C82" w:rsidRDefault="00686C82" w:rsidP="002F2017">
      <w:pPr>
        <w:jc w:val="both"/>
      </w:pPr>
    </w:p>
    <w:p w:rsidR="00686C82" w:rsidRDefault="00686C82" w:rsidP="002F2017">
      <w:pPr>
        <w:jc w:val="both"/>
      </w:pPr>
    </w:p>
    <w:p w:rsidR="00123FF4" w:rsidRDefault="00123FF4" w:rsidP="002F2017">
      <w:pPr>
        <w:jc w:val="both"/>
      </w:pPr>
      <w:r>
        <w:lastRenderedPageBreak/>
        <w:t xml:space="preserve">Further, over and above the earlier mentioned points, the detailed requirements of </w:t>
      </w:r>
      <w:r w:rsidR="002F2017">
        <w:t>SJCE</w:t>
      </w:r>
      <w:r>
        <w:t xml:space="preserve"> are listed below: </w:t>
      </w:r>
    </w:p>
    <w:p w:rsidR="00686C82" w:rsidRDefault="002F2017" w:rsidP="002F2017">
      <w:pPr>
        <w:pStyle w:val="ListParagraph"/>
        <w:numPr>
          <w:ilvl w:val="0"/>
          <w:numId w:val="3"/>
        </w:numPr>
        <w:jc w:val="both"/>
      </w:pPr>
      <w:r>
        <w:t>All the branches at SJCE are opting for the online</w:t>
      </w:r>
      <w:r w:rsidR="00686C82">
        <w:t xml:space="preserve"> coaching for</w:t>
      </w:r>
      <w:r>
        <w:t xml:space="preserve"> GATE 2019</w:t>
      </w:r>
      <w:r w:rsidR="00686C82">
        <w:t>.</w:t>
      </w:r>
      <w:r>
        <w:t xml:space="preserve"> The departments</w:t>
      </w:r>
      <w:r w:rsidR="00686C82">
        <w:t xml:space="preserve"> and number of student participants</w:t>
      </w:r>
      <w:r>
        <w:t xml:space="preserve"> are:</w:t>
      </w:r>
    </w:p>
    <w:p w:rsidR="00686C82" w:rsidRDefault="00686C82" w:rsidP="00686C82">
      <w:pPr>
        <w:pStyle w:val="ListParagraph"/>
        <w:ind w:left="1080"/>
        <w:jc w:val="both"/>
      </w:pPr>
    </w:p>
    <w:tbl>
      <w:tblPr>
        <w:tblStyle w:val="TableGrid"/>
        <w:tblW w:w="0" w:type="auto"/>
        <w:tblInd w:w="1080" w:type="dxa"/>
        <w:tblLook w:val="04A0" w:firstRow="1" w:lastRow="0" w:firstColumn="1" w:lastColumn="0" w:noHBand="0" w:noVBand="1"/>
      </w:tblPr>
      <w:tblGrid>
        <w:gridCol w:w="1042"/>
        <w:gridCol w:w="3827"/>
        <w:gridCol w:w="3067"/>
      </w:tblGrid>
      <w:tr w:rsidR="00686C82" w:rsidTr="00731D33">
        <w:tc>
          <w:tcPr>
            <w:tcW w:w="1042" w:type="dxa"/>
          </w:tcPr>
          <w:p w:rsidR="00686C82" w:rsidRDefault="00686C82" w:rsidP="00686C82">
            <w:pPr>
              <w:pStyle w:val="ListParagraph"/>
              <w:ind w:left="0"/>
              <w:jc w:val="both"/>
            </w:pPr>
            <w:proofErr w:type="spellStart"/>
            <w:r>
              <w:t>Sl.No</w:t>
            </w:r>
            <w:proofErr w:type="spellEnd"/>
            <w:r>
              <w:t>.</w:t>
            </w:r>
          </w:p>
        </w:tc>
        <w:tc>
          <w:tcPr>
            <w:tcW w:w="3827" w:type="dxa"/>
          </w:tcPr>
          <w:p w:rsidR="00686C82" w:rsidRDefault="00686C82" w:rsidP="00686C82">
            <w:pPr>
              <w:pStyle w:val="ListParagraph"/>
              <w:ind w:left="0"/>
              <w:jc w:val="both"/>
            </w:pPr>
            <w:r>
              <w:t>Department</w:t>
            </w:r>
          </w:p>
        </w:tc>
        <w:tc>
          <w:tcPr>
            <w:tcW w:w="3067" w:type="dxa"/>
          </w:tcPr>
          <w:p w:rsidR="00686C82" w:rsidRDefault="00686C82" w:rsidP="00686C82">
            <w:pPr>
              <w:pStyle w:val="ListParagraph"/>
              <w:ind w:left="0"/>
              <w:jc w:val="both"/>
            </w:pPr>
            <w:r>
              <w:t>No. of Students opting for online coaching</w:t>
            </w:r>
          </w:p>
        </w:tc>
      </w:tr>
      <w:tr w:rsidR="00686C82" w:rsidTr="00731D33">
        <w:tc>
          <w:tcPr>
            <w:tcW w:w="1042" w:type="dxa"/>
          </w:tcPr>
          <w:p w:rsidR="00686C82" w:rsidRDefault="00686C82" w:rsidP="00686C82">
            <w:pPr>
              <w:pStyle w:val="ListParagraph"/>
              <w:ind w:left="0"/>
              <w:jc w:val="both"/>
            </w:pPr>
            <w:r>
              <w:t>1</w:t>
            </w:r>
          </w:p>
        </w:tc>
        <w:tc>
          <w:tcPr>
            <w:tcW w:w="3827" w:type="dxa"/>
          </w:tcPr>
          <w:p w:rsidR="00686C82" w:rsidRDefault="00686C82" w:rsidP="00686C82">
            <w:pPr>
              <w:pStyle w:val="ListParagraph"/>
              <w:ind w:left="0"/>
              <w:jc w:val="both"/>
            </w:pPr>
            <w:r>
              <w:t>Civil Engineering</w:t>
            </w:r>
          </w:p>
        </w:tc>
        <w:tc>
          <w:tcPr>
            <w:tcW w:w="3067" w:type="dxa"/>
          </w:tcPr>
          <w:p w:rsidR="00686C82" w:rsidRDefault="00686C82" w:rsidP="00686C82">
            <w:pPr>
              <w:pStyle w:val="ListParagraph"/>
              <w:ind w:left="0"/>
              <w:jc w:val="both"/>
            </w:pPr>
            <w:r>
              <w:t>32</w:t>
            </w:r>
          </w:p>
        </w:tc>
      </w:tr>
      <w:tr w:rsidR="00686C82" w:rsidTr="00731D33">
        <w:tc>
          <w:tcPr>
            <w:tcW w:w="1042" w:type="dxa"/>
          </w:tcPr>
          <w:p w:rsidR="00686C82" w:rsidRDefault="00686C82" w:rsidP="00686C82">
            <w:pPr>
              <w:pStyle w:val="ListParagraph"/>
              <w:ind w:left="0"/>
              <w:jc w:val="both"/>
            </w:pPr>
            <w:r>
              <w:t>2</w:t>
            </w:r>
          </w:p>
        </w:tc>
        <w:tc>
          <w:tcPr>
            <w:tcW w:w="3827" w:type="dxa"/>
          </w:tcPr>
          <w:p w:rsidR="00686C82" w:rsidRDefault="00686C82" w:rsidP="00686C82">
            <w:pPr>
              <w:pStyle w:val="ListParagraph"/>
              <w:ind w:left="0"/>
              <w:jc w:val="both"/>
            </w:pPr>
            <w:r>
              <w:t>Construction Technology and Management</w:t>
            </w:r>
          </w:p>
        </w:tc>
        <w:tc>
          <w:tcPr>
            <w:tcW w:w="3067" w:type="dxa"/>
          </w:tcPr>
          <w:p w:rsidR="00686C82" w:rsidRDefault="00686C82" w:rsidP="00686C82">
            <w:pPr>
              <w:pStyle w:val="ListParagraph"/>
              <w:ind w:left="0"/>
              <w:jc w:val="both"/>
            </w:pPr>
            <w:r>
              <w:t>12</w:t>
            </w:r>
          </w:p>
        </w:tc>
      </w:tr>
      <w:tr w:rsidR="00686C82" w:rsidTr="00731D33">
        <w:tc>
          <w:tcPr>
            <w:tcW w:w="1042" w:type="dxa"/>
          </w:tcPr>
          <w:p w:rsidR="00686C82" w:rsidRDefault="00686C82" w:rsidP="00686C82">
            <w:pPr>
              <w:pStyle w:val="ListParagraph"/>
              <w:ind w:left="0"/>
              <w:jc w:val="both"/>
            </w:pPr>
            <w:r>
              <w:t>3</w:t>
            </w:r>
          </w:p>
        </w:tc>
        <w:tc>
          <w:tcPr>
            <w:tcW w:w="3827" w:type="dxa"/>
          </w:tcPr>
          <w:p w:rsidR="00686C82" w:rsidRDefault="00686C82" w:rsidP="00686C82">
            <w:pPr>
              <w:pStyle w:val="ListParagraph"/>
              <w:ind w:left="0"/>
              <w:jc w:val="both"/>
            </w:pPr>
            <w:r>
              <w:t>Environmental engineering</w:t>
            </w:r>
          </w:p>
        </w:tc>
        <w:tc>
          <w:tcPr>
            <w:tcW w:w="3067" w:type="dxa"/>
          </w:tcPr>
          <w:p w:rsidR="00686C82" w:rsidRDefault="00686C82" w:rsidP="00731D33">
            <w:pPr>
              <w:pStyle w:val="ListParagraph"/>
              <w:ind w:left="0"/>
              <w:jc w:val="both"/>
            </w:pPr>
            <w:r>
              <w:t>1</w:t>
            </w:r>
            <w:r w:rsidR="00731D33">
              <w:t>8</w:t>
            </w:r>
          </w:p>
        </w:tc>
      </w:tr>
      <w:tr w:rsidR="00686C82" w:rsidTr="00731D33">
        <w:tc>
          <w:tcPr>
            <w:tcW w:w="1042" w:type="dxa"/>
          </w:tcPr>
          <w:p w:rsidR="00686C82" w:rsidRDefault="00686C82" w:rsidP="00686C82">
            <w:pPr>
              <w:pStyle w:val="ListParagraph"/>
              <w:ind w:left="0"/>
              <w:jc w:val="both"/>
            </w:pPr>
            <w:r>
              <w:t>4</w:t>
            </w:r>
          </w:p>
        </w:tc>
        <w:tc>
          <w:tcPr>
            <w:tcW w:w="3827" w:type="dxa"/>
          </w:tcPr>
          <w:p w:rsidR="00686C82" w:rsidRDefault="00686C82" w:rsidP="00686C82">
            <w:pPr>
              <w:pStyle w:val="ListParagraph"/>
              <w:ind w:left="0"/>
              <w:jc w:val="both"/>
            </w:pPr>
            <w:r>
              <w:t>Mechanical Engineering</w:t>
            </w:r>
          </w:p>
        </w:tc>
        <w:tc>
          <w:tcPr>
            <w:tcW w:w="3067" w:type="dxa"/>
          </w:tcPr>
          <w:p w:rsidR="00686C82" w:rsidRDefault="00731D33" w:rsidP="00686C82">
            <w:pPr>
              <w:pStyle w:val="ListParagraph"/>
              <w:ind w:left="0"/>
              <w:jc w:val="both"/>
            </w:pPr>
            <w:r>
              <w:t>36</w:t>
            </w:r>
          </w:p>
        </w:tc>
      </w:tr>
      <w:tr w:rsidR="00686C82" w:rsidTr="00731D33">
        <w:tc>
          <w:tcPr>
            <w:tcW w:w="1042" w:type="dxa"/>
          </w:tcPr>
          <w:p w:rsidR="00686C82" w:rsidRDefault="00686C82" w:rsidP="00686C82">
            <w:pPr>
              <w:pStyle w:val="ListParagraph"/>
              <w:ind w:left="0"/>
              <w:jc w:val="both"/>
            </w:pPr>
            <w:r>
              <w:t>5</w:t>
            </w:r>
          </w:p>
        </w:tc>
        <w:tc>
          <w:tcPr>
            <w:tcW w:w="3827" w:type="dxa"/>
          </w:tcPr>
          <w:p w:rsidR="00686C82" w:rsidRDefault="00686C82" w:rsidP="00686C82">
            <w:pPr>
              <w:pStyle w:val="ListParagraph"/>
              <w:ind w:left="0"/>
              <w:jc w:val="both"/>
            </w:pPr>
            <w:r>
              <w:t>Industrial Production and Engg.</w:t>
            </w:r>
          </w:p>
        </w:tc>
        <w:tc>
          <w:tcPr>
            <w:tcW w:w="3067" w:type="dxa"/>
          </w:tcPr>
          <w:p w:rsidR="00686C82" w:rsidRDefault="00686C82" w:rsidP="00686C82">
            <w:pPr>
              <w:pStyle w:val="ListParagraph"/>
              <w:ind w:left="0"/>
              <w:jc w:val="both"/>
            </w:pPr>
            <w:r>
              <w:t>22</w:t>
            </w:r>
          </w:p>
        </w:tc>
      </w:tr>
      <w:tr w:rsidR="00686C82" w:rsidTr="00731D33">
        <w:tc>
          <w:tcPr>
            <w:tcW w:w="1042" w:type="dxa"/>
          </w:tcPr>
          <w:p w:rsidR="00686C82" w:rsidRDefault="00686C82" w:rsidP="00686C82">
            <w:pPr>
              <w:pStyle w:val="ListParagraph"/>
              <w:ind w:left="0"/>
              <w:jc w:val="both"/>
            </w:pPr>
            <w:r>
              <w:t>6</w:t>
            </w:r>
          </w:p>
        </w:tc>
        <w:tc>
          <w:tcPr>
            <w:tcW w:w="3827" w:type="dxa"/>
          </w:tcPr>
          <w:p w:rsidR="00686C82" w:rsidRDefault="00686C82" w:rsidP="00686C82">
            <w:pPr>
              <w:pStyle w:val="ListParagraph"/>
              <w:ind w:left="0"/>
              <w:jc w:val="both"/>
            </w:pPr>
            <w:r>
              <w:t>Computer Science and Engg.</w:t>
            </w:r>
          </w:p>
        </w:tc>
        <w:tc>
          <w:tcPr>
            <w:tcW w:w="3067" w:type="dxa"/>
          </w:tcPr>
          <w:p w:rsidR="00686C82" w:rsidRDefault="00731D33" w:rsidP="00686C82">
            <w:pPr>
              <w:pStyle w:val="ListParagraph"/>
              <w:ind w:left="0"/>
              <w:jc w:val="both"/>
            </w:pPr>
            <w:r>
              <w:t>22</w:t>
            </w:r>
          </w:p>
        </w:tc>
      </w:tr>
      <w:tr w:rsidR="00686C82" w:rsidTr="00731D33">
        <w:tc>
          <w:tcPr>
            <w:tcW w:w="1042" w:type="dxa"/>
          </w:tcPr>
          <w:p w:rsidR="00686C82" w:rsidRDefault="00686C82" w:rsidP="00686C82">
            <w:pPr>
              <w:pStyle w:val="ListParagraph"/>
              <w:ind w:left="0"/>
              <w:jc w:val="both"/>
            </w:pPr>
            <w:r>
              <w:t>7</w:t>
            </w:r>
          </w:p>
        </w:tc>
        <w:tc>
          <w:tcPr>
            <w:tcW w:w="3827" w:type="dxa"/>
          </w:tcPr>
          <w:p w:rsidR="00686C82" w:rsidRDefault="00686C82" w:rsidP="00686C82">
            <w:pPr>
              <w:pStyle w:val="ListParagraph"/>
              <w:ind w:left="0"/>
              <w:jc w:val="both"/>
            </w:pPr>
            <w:r>
              <w:t>Information Science and Engg.</w:t>
            </w:r>
          </w:p>
        </w:tc>
        <w:tc>
          <w:tcPr>
            <w:tcW w:w="3067" w:type="dxa"/>
          </w:tcPr>
          <w:p w:rsidR="00686C82" w:rsidRDefault="00686C82" w:rsidP="00686C82">
            <w:pPr>
              <w:pStyle w:val="ListParagraph"/>
              <w:ind w:left="0"/>
              <w:jc w:val="both"/>
            </w:pPr>
            <w:r>
              <w:t>09</w:t>
            </w:r>
          </w:p>
        </w:tc>
      </w:tr>
      <w:tr w:rsidR="00686C82" w:rsidTr="00731D33">
        <w:tc>
          <w:tcPr>
            <w:tcW w:w="1042" w:type="dxa"/>
          </w:tcPr>
          <w:p w:rsidR="00686C82" w:rsidRDefault="00686C82" w:rsidP="00686C82">
            <w:pPr>
              <w:pStyle w:val="ListParagraph"/>
              <w:ind w:left="0"/>
              <w:jc w:val="both"/>
            </w:pPr>
            <w:r>
              <w:t>8</w:t>
            </w:r>
          </w:p>
        </w:tc>
        <w:tc>
          <w:tcPr>
            <w:tcW w:w="3827" w:type="dxa"/>
          </w:tcPr>
          <w:p w:rsidR="00686C82" w:rsidRDefault="00686C82" w:rsidP="00686C82">
            <w:pPr>
              <w:pStyle w:val="ListParagraph"/>
              <w:ind w:left="0"/>
              <w:jc w:val="both"/>
            </w:pPr>
            <w:r>
              <w:t>Instrumentation Technology</w:t>
            </w:r>
          </w:p>
        </w:tc>
        <w:tc>
          <w:tcPr>
            <w:tcW w:w="3067" w:type="dxa"/>
          </w:tcPr>
          <w:p w:rsidR="00686C82" w:rsidRDefault="00686C82" w:rsidP="00686C82">
            <w:pPr>
              <w:pStyle w:val="ListParagraph"/>
              <w:ind w:left="0"/>
              <w:jc w:val="both"/>
            </w:pPr>
            <w:r>
              <w:t>16</w:t>
            </w:r>
          </w:p>
        </w:tc>
      </w:tr>
      <w:tr w:rsidR="00686C82" w:rsidTr="00731D33">
        <w:tc>
          <w:tcPr>
            <w:tcW w:w="1042" w:type="dxa"/>
          </w:tcPr>
          <w:p w:rsidR="00686C82" w:rsidRDefault="00686C82" w:rsidP="00686C82">
            <w:pPr>
              <w:pStyle w:val="ListParagraph"/>
              <w:ind w:left="0"/>
              <w:jc w:val="both"/>
            </w:pPr>
            <w:r>
              <w:t>9</w:t>
            </w:r>
          </w:p>
        </w:tc>
        <w:tc>
          <w:tcPr>
            <w:tcW w:w="3827" w:type="dxa"/>
          </w:tcPr>
          <w:p w:rsidR="00686C82" w:rsidRDefault="00686C82" w:rsidP="00686C82">
            <w:pPr>
              <w:pStyle w:val="ListParagraph"/>
              <w:ind w:left="0"/>
              <w:jc w:val="both"/>
            </w:pPr>
            <w:r>
              <w:t>Electronics and Communication Engg.</w:t>
            </w:r>
          </w:p>
        </w:tc>
        <w:tc>
          <w:tcPr>
            <w:tcW w:w="3067" w:type="dxa"/>
          </w:tcPr>
          <w:p w:rsidR="00686C82" w:rsidRDefault="00686C82" w:rsidP="00686C82">
            <w:pPr>
              <w:pStyle w:val="ListParagraph"/>
              <w:ind w:left="0"/>
              <w:jc w:val="both"/>
            </w:pPr>
            <w:r>
              <w:t>26</w:t>
            </w:r>
          </w:p>
        </w:tc>
      </w:tr>
      <w:tr w:rsidR="00686C82" w:rsidTr="00731D33">
        <w:tc>
          <w:tcPr>
            <w:tcW w:w="1042" w:type="dxa"/>
          </w:tcPr>
          <w:p w:rsidR="00686C82" w:rsidRDefault="00686C82" w:rsidP="00686C82">
            <w:pPr>
              <w:pStyle w:val="ListParagraph"/>
              <w:ind w:left="0"/>
              <w:jc w:val="both"/>
            </w:pPr>
            <w:r>
              <w:t>10</w:t>
            </w:r>
          </w:p>
        </w:tc>
        <w:tc>
          <w:tcPr>
            <w:tcW w:w="3827" w:type="dxa"/>
          </w:tcPr>
          <w:p w:rsidR="00686C82" w:rsidRDefault="00686C82" w:rsidP="00686C82">
            <w:pPr>
              <w:pStyle w:val="ListParagraph"/>
              <w:ind w:left="0"/>
              <w:jc w:val="both"/>
            </w:pPr>
            <w:r>
              <w:t>Electrical and Electronics Engg.</w:t>
            </w:r>
          </w:p>
        </w:tc>
        <w:tc>
          <w:tcPr>
            <w:tcW w:w="3067" w:type="dxa"/>
          </w:tcPr>
          <w:p w:rsidR="00686C82" w:rsidRDefault="00731D33" w:rsidP="00686C82">
            <w:pPr>
              <w:pStyle w:val="ListParagraph"/>
              <w:ind w:left="0"/>
              <w:jc w:val="both"/>
            </w:pPr>
            <w:r>
              <w:t>37</w:t>
            </w:r>
          </w:p>
        </w:tc>
      </w:tr>
      <w:tr w:rsidR="00686C82" w:rsidTr="00731D33">
        <w:tc>
          <w:tcPr>
            <w:tcW w:w="1042" w:type="dxa"/>
          </w:tcPr>
          <w:p w:rsidR="00686C82" w:rsidRDefault="00686C82" w:rsidP="00686C82">
            <w:pPr>
              <w:pStyle w:val="ListParagraph"/>
              <w:ind w:left="0"/>
              <w:jc w:val="both"/>
            </w:pPr>
            <w:r>
              <w:t>11</w:t>
            </w:r>
          </w:p>
        </w:tc>
        <w:tc>
          <w:tcPr>
            <w:tcW w:w="3827" w:type="dxa"/>
          </w:tcPr>
          <w:p w:rsidR="00686C82" w:rsidRDefault="00686C82" w:rsidP="00686C82">
            <w:pPr>
              <w:pStyle w:val="ListParagraph"/>
              <w:ind w:left="0"/>
              <w:jc w:val="both"/>
            </w:pPr>
            <w:r>
              <w:t>Polymer Science and Engg.</w:t>
            </w:r>
          </w:p>
        </w:tc>
        <w:tc>
          <w:tcPr>
            <w:tcW w:w="3067" w:type="dxa"/>
          </w:tcPr>
          <w:p w:rsidR="00686C82" w:rsidRDefault="00731D33" w:rsidP="00686C82">
            <w:pPr>
              <w:pStyle w:val="ListParagraph"/>
              <w:ind w:left="0"/>
              <w:jc w:val="both"/>
            </w:pPr>
            <w:r>
              <w:t>19</w:t>
            </w:r>
          </w:p>
        </w:tc>
      </w:tr>
      <w:tr w:rsidR="00686C82" w:rsidTr="00731D33">
        <w:tc>
          <w:tcPr>
            <w:tcW w:w="1042" w:type="dxa"/>
          </w:tcPr>
          <w:p w:rsidR="00686C82" w:rsidRDefault="00686C82" w:rsidP="00686C82">
            <w:pPr>
              <w:pStyle w:val="ListParagraph"/>
              <w:ind w:left="0"/>
              <w:jc w:val="both"/>
            </w:pPr>
            <w:r>
              <w:t>12</w:t>
            </w:r>
          </w:p>
        </w:tc>
        <w:tc>
          <w:tcPr>
            <w:tcW w:w="3827" w:type="dxa"/>
          </w:tcPr>
          <w:p w:rsidR="00686C82" w:rsidRDefault="00686C82" w:rsidP="00686C82">
            <w:pPr>
              <w:pStyle w:val="ListParagraph"/>
              <w:ind w:left="0"/>
              <w:jc w:val="both"/>
            </w:pPr>
            <w:r>
              <w:t>Bio Technology</w:t>
            </w:r>
          </w:p>
        </w:tc>
        <w:tc>
          <w:tcPr>
            <w:tcW w:w="3067" w:type="dxa"/>
          </w:tcPr>
          <w:p w:rsidR="00686C82" w:rsidRDefault="00686C82" w:rsidP="00686C82">
            <w:pPr>
              <w:pStyle w:val="ListParagraph"/>
              <w:ind w:left="0"/>
              <w:jc w:val="both"/>
            </w:pPr>
            <w:r>
              <w:t>13</w:t>
            </w:r>
          </w:p>
        </w:tc>
      </w:tr>
      <w:tr w:rsidR="009659DA" w:rsidTr="00731D33">
        <w:tc>
          <w:tcPr>
            <w:tcW w:w="1042" w:type="dxa"/>
          </w:tcPr>
          <w:p w:rsidR="009659DA" w:rsidRDefault="009659DA" w:rsidP="00686C82">
            <w:pPr>
              <w:pStyle w:val="ListParagraph"/>
              <w:ind w:left="0"/>
              <w:jc w:val="both"/>
            </w:pPr>
          </w:p>
        </w:tc>
        <w:tc>
          <w:tcPr>
            <w:tcW w:w="3827" w:type="dxa"/>
          </w:tcPr>
          <w:p w:rsidR="009659DA" w:rsidRDefault="009659DA" w:rsidP="00686C82">
            <w:pPr>
              <w:pStyle w:val="ListParagraph"/>
              <w:ind w:left="0"/>
              <w:jc w:val="both"/>
            </w:pPr>
            <w:r>
              <w:t>Total</w:t>
            </w:r>
          </w:p>
        </w:tc>
        <w:tc>
          <w:tcPr>
            <w:tcW w:w="3067" w:type="dxa"/>
          </w:tcPr>
          <w:p w:rsidR="009659DA" w:rsidRDefault="00731D33" w:rsidP="00686C82">
            <w:pPr>
              <w:pStyle w:val="ListParagraph"/>
              <w:ind w:left="0"/>
              <w:jc w:val="both"/>
            </w:pPr>
            <w:r>
              <w:t>262</w:t>
            </w:r>
          </w:p>
        </w:tc>
      </w:tr>
    </w:tbl>
    <w:p w:rsidR="00686C82" w:rsidRDefault="00686C82" w:rsidP="00686C82">
      <w:pPr>
        <w:pStyle w:val="ListParagraph"/>
        <w:ind w:left="1080"/>
        <w:jc w:val="both"/>
      </w:pPr>
    </w:p>
    <w:p w:rsidR="00686C82" w:rsidRDefault="00686C82" w:rsidP="00686C82">
      <w:pPr>
        <w:pStyle w:val="ListParagraph"/>
        <w:ind w:left="1080"/>
        <w:jc w:val="both"/>
      </w:pPr>
    </w:p>
    <w:p w:rsidR="00123FF4" w:rsidRDefault="00123FF4" w:rsidP="002F2017">
      <w:pPr>
        <w:pStyle w:val="ListParagraph"/>
        <w:numPr>
          <w:ilvl w:val="0"/>
          <w:numId w:val="3"/>
        </w:numPr>
        <w:jc w:val="both"/>
      </w:pPr>
      <w:r>
        <w:t xml:space="preserve">The GATE training will be imparted </w:t>
      </w:r>
      <w:r w:rsidR="00686C82">
        <w:t>in</w:t>
      </w:r>
      <w:r>
        <w:t xml:space="preserve"> Distance Learning Mode supplemented with video lectures</w:t>
      </w:r>
      <w:r w:rsidR="00686C82">
        <w:t>.</w:t>
      </w:r>
      <w:r>
        <w:t xml:space="preserve"> Course material would be provided</w:t>
      </w:r>
      <w:r w:rsidR="00686C82">
        <w:t xml:space="preserve"> by the GATE training provider at the beginning.</w:t>
      </w:r>
    </w:p>
    <w:p w:rsidR="00123FF4" w:rsidRDefault="00686C82" w:rsidP="00686C82">
      <w:pPr>
        <w:pStyle w:val="ListParagraph"/>
        <w:numPr>
          <w:ilvl w:val="0"/>
          <w:numId w:val="3"/>
        </w:numPr>
        <w:jc w:val="both"/>
      </w:pPr>
      <w:r>
        <w:t xml:space="preserve">The training agency should provide initial training </w:t>
      </w:r>
      <w:r w:rsidR="00437725">
        <w:t xml:space="preserve">at SJCE </w:t>
      </w:r>
      <w:r>
        <w:t xml:space="preserve">for a </w:t>
      </w:r>
      <w:r w:rsidR="00437725">
        <w:t>week addressing the students regarding usage of online course materials, conduction of Mock test and examination and also to address the problems regarding online coaching.</w:t>
      </w:r>
    </w:p>
    <w:p w:rsidR="00437725" w:rsidRDefault="00437725" w:rsidP="00123FF4"/>
    <w:p w:rsidR="00437725" w:rsidRDefault="00123FF4" w:rsidP="00437725">
      <w:pPr>
        <w:pStyle w:val="ListParagraph"/>
        <w:numPr>
          <w:ilvl w:val="1"/>
          <w:numId w:val="1"/>
        </w:numPr>
      </w:pPr>
      <w:r>
        <w:t>Tasks to be carried out</w:t>
      </w:r>
      <w:r w:rsidR="00437725">
        <w:t>:</w:t>
      </w:r>
    </w:p>
    <w:p w:rsidR="00437725" w:rsidRDefault="00123FF4" w:rsidP="00437725">
      <w:pPr>
        <w:pStyle w:val="ListParagraph"/>
        <w:ind w:left="360"/>
      </w:pPr>
      <w:r>
        <w:t xml:space="preserve"> The course contents for GATE training shall be based on the curriculum declared for GATE </w:t>
      </w:r>
      <w:r w:rsidR="00437725">
        <w:t>examination 2019.</w:t>
      </w:r>
    </w:p>
    <w:p w:rsidR="00437725" w:rsidRDefault="00123FF4" w:rsidP="00437725">
      <w:pPr>
        <w:pStyle w:val="ListParagraph"/>
        <w:ind w:left="360"/>
      </w:pPr>
      <w:r>
        <w:t xml:space="preserve">The service provider has to cover following premium learning tools while delivering the contents: </w:t>
      </w:r>
    </w:p>
    <w:p w:rsidR="00437725" w:rsidRDefault="00123FF4" w:rsidP="00437725">
      <w:pPr>
        <w:pStyle w:val="ListParagraph"/>
        <w:numPr>
          <w:ilvl w:val="0"/>
          <w:numId w:val="4"/>
        </w:numPr>
      </w:pPr>
      <w:r>
        <w:t>Providing learning (study) material online/ offline before commencement of training.</w:t>
      </w:r>
    </w:p>
    <w:p w:rsidR="00437725" w:rsidRDefault="00123FF4" w:rsidP="00437725">
      <w:pPr>
        <w:pStyle w:val="ListParagraph"/>
        <w:numPr>
          <w:ilvl w:val="0"/>
          <w:numId w:val="4"/>
        </w:numPr>
      </w:pPr>
      <w:r>
        <w:t xml:space="preserve">Interactive technology enabled online tutorials/ tests. </w:t>
      </w:r>
    </w:p>
    <w:p w:rsidR="00437725" w:rsidRDefault="00123FF4" w:rsidP="00437725">
      <w:pPr>
        <w:pStyle w:val="ListParagraph"/>
        <w:numPr>
          <w:ilvl w:val="0"/>
          <w:numId w:val="4"/>
        </w:numPr>
      </w:pPr>
      <w:r>
        <w:t xml:space="preserve">The environment (for </w:t>
      </w:r>
      <w:proofErr w:type="spellStart"/>
      <w:r>
        <w:t>eg</w:t>
      </w:r>
      <w:proofErr w:type="spellEnd"/>
      <w:r>
        <w:t xml:space="preserve">. MOODLE) to ask whatever questions he/she wants in order to accomplish his/her learning goals. </w:t>
      </w:r>
    </w:p>
    <w:p w:rsidR="00437725" w:rsidRDefault="00123FF4" w:rsidP="00437725">
      <w:pPr>
        <w:pStyle w:val="ListParagraph"/>
        <w:numPr>
          <w:ilvl w:val="0"/>
          <w:numId w:val="4"/>
        </w:numPr>
      </w:pPr>
      <w:r>
        <w:t xml:space="preserve">Track achievements and progress with easy-to-use measurement tools. </w:t>
      </w:r>
    </w:p>
    <w:p w:rsidR="00437725" w:rsidRDefault="00437725" w:rsidP="00437725">
      <w:pPr>
        <w:pStyle w:val="ListParagraph"/>
        <w:numPr>
          <w:ilvl w:val="0"/>
          <w:numId w:val="4"/>
        </w:numPr>
      </w:pPr>
      <w:r>
        <w:t xml:space="preserve">The agency is expected to cover complete GATE syllabus for the branches mentioned above. </w:t>
      </w:r>
    </w:p>
    <w:p w:rsidR="00123FF4" w:rsidRDefault="00123FF4" w:rsidP="00123FF4"/>
    <w:p w:rsidR="00437725" w:rsidRDefault="00437725" w:rsidP="00123FF4"/>
    <w:p w:rsidR="00A04478" w:rsidRDefault="00A04478" w:rsidP="00123FF4"/>
    <w:p w:rsidR="00A04478" w:rsidRDefault="00A04478" w:rsidP="00123FF4"/>
    <w:p w:rsidR="00A04478" w:rsidRDefault="00A04478" w:rsidP="00123FF4"/>
    <w:p w:rsidR="00123FF4" w:rsidRDefault="00123FF4" w:rsidP="00123FF4"/>
    <w:p w:rsidR="00437725" w:rsidRDefault="00437725" w:rsidP="00123FF4">
      <w:r>
        <w:t>1.3</w:t>
      </w:r>
      <w:r w:rsidR="00123FF4">
        <w:t xml:space="preserve"> The support/inputs provided by the </w:t>
      </w:r>
      <w:r>
        <w:t>client- SJCE, Mysuru- 6:</w:t>
      </w:r>
      <w:r w:rsidR="00123FF4">
        <w:t xml:space="preserve"> </w:t>
      </w:r>
    </w:p>
    <w:p w:rsidR="00437725" w:rsidRDefault="00123FF4" w:rsidP="00123FF4">
      <w:proofErr w:type="spellStart"/>
      <w:r>
        <w:t>i</w:t>
      </w:r>
      <w:proofErr w:type="spellEnd"/>
      <w:r>
        <w:t>. Shall provide number of batches and the list of students participating in the training.</w:t>
      </w:r>
    </w:p>
    <w:p w:rsidR="00437725" w:rsidRDefault="00123FF4" w:rsidP="00123FF4">
      <w:r>
        <w:t xml:space="preserve">ii. Shall provide infrastructure like auditorium/seminar halls, internet facility, and team of faculty for coordination.  </w:t>
      </w:r>
    </w:p>
    <w:p w:rsidR="00123FF4" w:rsidRDefault="00123FF4" w:rsidP="00123FF4">
      <w:r>
        <w:t xml:space="preserve">iii. Coordination shall include making students attending program, collecting feedback of students, arranging </w:t>
      </w:r>
      <w:r w:rsidR="00437725">
        <w:t>bi-</w:t>
      </w:r>
      <w:r>
        <w:t xml:space="preserve">weekly review meeting with head of institution.  </w:t>
      </w:r>
    </w:p>
    <w:p w:rsidR="00123FF4" w:rsidRDefault="00123FF4" w:rsidP="00123FF4">
      <w:r>
        <w:t xml:space="preserve"> </w:t>
      </w:r>
    </w:p>
    <w:p w:rsidR="00437725" w:rsidRDefault="00123FF4" w:rsidP="00123FF4">
      <w:r>
        <w:t>1.</w:t>
      </w:r>
      <w:r w:rsidR="00437725">
        <w:t>4</w:t>
      </w:r>
      <w:r>
        <w:t xml:space="preserve"> Service Provider’s </w:t>
      </w:r>
      <w:r w:rsidR="00993DE7">
        <w:t>responsibility:</w:t>
      </w:r>
    </w:p>
    <w:p w:rsidR="00437725" w:rsidRDefault="00123FF4" w:rsidP="00993DE7">
      <w:pPr>
        <w:pStyle w:val="ListParagraph"/>
        <w:numPr>
          <w:ilvl w:val="0"/>
          <w:numId w:val="5"/>
        </w:numPr>
      </w:pPr>
      <w:r>
        <w:t xml:space="preserve">Service provider has to provide detailed schedule of breakup for each of the appropriate modules covering the different skills mentioned in this document. </w:t>
      </w:r>
    </w:p>
    <w:p w:rsidR="00993DE7" w:rsidRDefault="00123FF4" w:rsidP="00993DE7">
      <w:pPr>
        <w:pStyle w:val="ListParagraph"/>
        <w:numPr>
          <w:ilvl w:val="0"/>
          <w:numId w:val="5"/>
        </w:numPr>
      </w:pPr>
      <w:r>
        <w:t xml:space="preserve">Multiple subject experts shall be provided by mapping their specialization with the modules to be delivered for each batch. </w:t>
      </w:r>
    </w:p>
    <w:p w:rsidR="00993DE7" w:rsidRDefault="00123FF4" w:rsidP="00993DE7">
      <w:pPr>
        <w:pStyle w:val="ListParagraph"/>
        <w:numPr>
          <w:ilvl w:val="0"/>
          <w:numId w:val="5"/>
        </w:numPr>
      </w:pPr>
      <w:r>
        <w:t>Each module must be supported by online tutorials which must be available for every registered student on 24x7 basis till the end of his graduation.</w:t>
      </w:r>
    </w:p>
    <w:p w:rsidR="00993DE7" w:rsidRDefault="00123FF4" w:rsidP="00993DE7">
      <w:pPr>
        <w:pStyle w:val="ListParagraph"/>
        <w:numPr>
          <w:ilvl w:val="0"/>
          <w:numId w:val="5"/>
        </w:numPr>
      </w:pPr>
      <w:r>
        <w:t xml:space="preserve">Benchmarking test shall be conducted for the students enrolled for the training program before commencement of training. </w:t>
      </w:r>
    </w:p>
    <w:p w:rsidR="00993DE7" w:rsidRDefault="00123FF4" w:rsidP="00993DE7">
      <w:pPr>
        <w:pStyle w:val="ListParagraph"/>
        <w:numPr>
          <w:ilvl w:val="0"/>
          <w:numId w:val="5"/>
        </w:numPr>
      </w:pPr>
      <w:r>
        <w:t xml:space="preserve">Every such student shall be evaluated periodically for the modules completed. </w:t>
      </w:r>
    </w:p>
    <w:p w:rsidR="00993DE7" w:rsidRDefault="00123FF4" w:rsidP="00993DE7">
      <w:pPr>
        <w:pStyle w:val="ListParagraph"/>
        <w:numPr>
          <w:ilvl w:val="0"/>
          <w:numId w:val="5"/>
        </w:numPr>
      </w:pPr>
      <w:r>
        <w:t xml:space="preserve">Each module must be supported by online assessment module. </w:t>
      </w:r>
    </w:p>
    <w:p w:rsidR="00993DE7" w:rsidRDefault="00123FF4" w:rsidP="00993DE7">
      <w:pPr>
        <w:pStyle w:val="ListParagraph"/>
        <w:numPr>
          <w:ilvl w:val="0"/>
          <w:numId w:val="5"/>
        </w:numPr>
      </w:pPr>
      <w:r>
        <w:t xml:space="preserve">Inviting student feedback, taking corrective actions for further improvement. </w:t>
      </w:r>
    </w:p>
    <w:p w:rsidR="00123FF4" w:rsidRDefault="00123FF4" w:rsidP="00123FF4"/>
    <w:p w:rsidR="00993DE7" w:rsidRDefault="00123FF4" w:rsidP="00123FF4">
      <w:r>
        <w:t>1.</w:t>
      </w:r>
      <w:r w:rsidR="00993DE7">
        <w:t>5</w:t>
      </w:r>
      <w:r>
        <w:t xml:space="preserve"> Final outputs that will be required of the Consultant</w:t>
      </w:r>
      <w:r w:rsidR="00993DE7">
        <w:t>:</w:t>
      </w:r>
      <w:r>
        <w:t xml:space="preserve">  </w:t>
      </w:r>
    </w:p>
    <w:p w:rsidR="00993DE7" w:rsidRDefault="00123FF4" w:rsidP="00123FF4">
      <w:r>
        <w:t xml:space="preserve">To train all the aspirants on proper preparation for GATE and provide them various resources like study material, access to the online videos, access to the all India Test Series, etc. and increase the number of GATE qualifiers with the help of coordinators from college. </w:t>
      </w:r>
    </w:p>
    <w:p w:rsidR="00993DE7" w:rsidRDefault="00123FF4" w:rsidP="00993DE7">
      <w:pPr>
        <w:pStyle w:val="ListParagraph"/>
        <w:numPr>
          <w:ilvl w:val="0"/>
          <w:numId w:val="6"/>
        </w:numPr>
      </w:pPr>
      <w:r>
        <w:t xml:space="preserve">The technical graduates to whom the training shall be imparted will become more employable (increase in placements) and synchronize themselves for various needs of the industry. </w:t>
      </w:r>
    </w:p>
    <w:p w:rsidR="00993DE7" w:rsidRDefault="00123FF4" w:rsidP="00993DE7">
      <w:pPr>
        <w:pStyle w:val="ListParagraph"/>
        <w:numPr>
          <w:ilvl w:val="0"/>
          <w:numId w:val="6"/>
        </w:numPr>
      </w:pPr>
      <w:r>
        <w:t>The final assessment shall be done by service provider using the same assessment tool which was us</w:t>
      </w:r>
      <w:r w:rsidR="00993DE7">
        <w:t>ed for the end exam by GATE.</w:t>
      </w:r>
    </w:p>
    <w:p w:rsidR="00E6749A" w:rsidRDefault="00E6749A" w:rsidP="00993DE7">
      <w:pPr>
        <w:pStyle w:val="ListParagraph"/>
        <w:numPr>
          <w:ilvl w:val="0"/>
          <w:numId w:val="6"/>
        </w:numPr>
      </w:pPr>
      <w:r>
        <w:t xml:space="preserve">Initial test has to be conducted before commencement of online training. </w:t>
      </w:r>
    </w:p>
    <w:p w:rsidR="00993DE7" w:rsidRDefault="00123FF4" w:rsidP="00993DE7">
      <w:pPr>
        <w:pStyle w:val="ListParagraph"/>
        <w:numPr>
          <w:ilvl w:val="0"/>
          <w:numId w:val="6"/>
        </w:numPr>
      </w:pPr>
      <w:r>
        <w:t xml:space="preserve">The final assessment shall result into at least 30 % improvement in case of every individual student after training. It is possible only after periodic assessment and timely corrections in the methodology/ mechanism. </w:t>
      </w:r>
    </w:p>
    <w:p w:rsidR="00123FF4" w:rsidRDefault="00123FF4" w:rsidP="00993DE7">
      <w:pPr>
        <w:pStyle w:val="ListParagraph"/>
        <w:numPr>
          <w:ilvl w:val="0"/>
          <w:numId w:val="6"/>
        </w:numPr>
      </w:pPr>
      <w:r>
        <w:t xml:space="preserve"> As per AICTE guidelines, at least 30 % of the students taking GATE training qualify GATE from the respective institute. The consultant should put all possible effort to achieve this. </w:t>
      </w:r>
    </w:p>
    <w:p w:rsidR="00123FF4" w:rsidRDefault="00123FF4" w:rsidP="00123FF4">
      <w:r>
        <w:t xml:space="preserve"> </w:t>
      </w:r>
    </w:p>
    <w:p w:rsidR="00993DE7" w:rsidRDefault="00993DE7" w:rsidP="00123FF4"/>
    <w:p w:rsidR="00993DE7" w:rsidRDefault="00993DE7" w:rsidP="00123FF4"/>
    <w:p w:rsidR="00993DE7" w:rsidRDefault="00993DE7" w:rsidP="00123FF4"/>
    <w:p w:rsidR="00993DE7" w:rsidRDefault="00993DE7" w:rsidP="00123FF4"/>
    <w:p w:rsidR="00993DE7" w:rsidRDefault="00123FF4" w:rsidP="00123FF4">
      <w:r>
        <w:t>1.</w:t>
      </w:r>
      <w:r w:rsidR="00993DE7">
        <w:t>6</w:t>
      </w:r>
      <w:r>
        <w:t xml:space="preserve"> Composition of Review Committee to monitor the Consultant’s works  </w:t>
      </w:r>
    </w:p>
    <w:p w:rsidR="00993DE7" w:rsidRDefault="00123FF4" w:rsidP="00123FF4">
      <w:proofErr w:type="spellStart"/>
      <w:r>
        <w:t>i</w:t>
      </w:r>
      <w:proofErr w:type="spellEnd"/>
      <w:r>
        <w:t xml:space="preserve">. The institute shall constitute Review Committee to monitor the progress of the training  </w:t>
      </w:r>
    </w:p>
    <w:p w:rsidR="00123FF4" w:rsidRDefault="00123FF4" w:rsidP="00123FF4">
      <w:r>
        <w:t xml:space="preserve">ii. The final settlement of training fee shall depend on the basis of satisfactory performance in view of student feedback and student performance. </w:t>
      </w:r>
    </w:p>
    <w:p w:rsidR="00123FF4" w:rsidRDefault="00123FF4" w:rsidP="00123FF4">
      <w:r>
        <w:t xml:space="preserve"> </w:t>
      </w:r>
    </w:p>
    <w:p w:rsidR="00123FF4" w:rsidRDefault="00E6749A" w:rsidP="00123FF4">
      <w:r>
        <w:t xml:space="preserve"> 1.7</w:t>
      </w:r>
      <w:r w:rsidR="00123FF4">
        <w:t xml:space="preserve"> Eligibility Criteria </w:t>
      </w:r>
    </w:p>
    <w:p w:rsidR="00123FF4" w:rsidRDefault="00123FF4" w:rsidP="00123FF4">
      <w:r>
        <w:t xml:space="preserve">The service provider should be registered with appropriate tax authorities such as income Tax, GST/ Service Tax etc. Copy of Respective Certificate(s) </w:t>
      </w:r>
      <w:r w:rsidR="00993DE7">
        <w:t>should be enclosed along with quotation.</w:t>
      </w:r>
    </w:p>
    <w:p w:rsidR="00123FF4" w:rsidRDefault="00123FF4" w:rsidP="00123FF4">
      <w:r>
        <w:t xml:space="preserve">The eligibility criteria given in TOR is minimum. Preference would be given to vendor having higher qualification and based on relevant experience of vendor. </w:t>
      </w:r>
    </w:p>
    <w:p w:rsidR="00522470" w:rsidRDefault="00BD0064" w:rsidP="00123FF4"/>
    <w:p w:rsidR="00FE1390" w:rsidRDefault="00FE1390" w:rsidP="00123FF4"/>
    <w:p w:rsidR="00FE1390" w:rsidRDefault="00FE1390" w:rsidP="00123FF4"/>
    <w:p w:rsidR="00FE1390" w:rsidRDefault="00FE1390" w:rsidP="00123FF4"/>
    <w:p w:rsidR="00FE1390" w:rsidRDefault="00FE1390" w:rsidP="00123FF4"/>
    <w:p w:rsidR="00FE1390" w:rsidRDefault="00FE1390" w:rsidP="00123FF4"/>
    <w:p w:rsidR="00FE1390" w:rsidRDefault="00FE1390" w:rsidP="00123FF4"/>
    <w:p w:rsidR="00FE1390" w:rsidRDefault="00FE1390" w:rsidP="00123FF4"/>
    <w:p w:rsidR="00FE1390" w:rsidRDefault="00FE1390" w:rsidP="00123FF4"/>
    <w:p w:rsidR="00FE1390" w:rsidRDefault="00FE1390" w:rsidP="00123FF4"/>
    <w:p w:rsidR="00FE1390" w:rsidRDefault="00FE1390" w:rsidP="00123FF4"/>
    <w:p w:rsidR="00FE1390" w:rsidRDefault="00FE1390" w:rsidP="00123FF4"/>
    <w:p w:rsidR="00FE1390" w:rsidRDefault="00FE1390" w:rsidP="00123FF4"/>
    <w:p w:rsidR="00FE1390" w:rsidRDefault="00FE1390" w:rsidP="00123FF4"/>
    <w:p w:rsidR="00FE1390" w:rsidRDefault="00FE1390" w:rsidP="00123FF4"/>
    <w:p w:rsidR="00FE1390" w:rsidRDefault="00FE1390" w:rsidP="00123FF4"/>
    <w:p w:rsidR="00FE1390" w:rsidRDefault="00FE1390" w:rsidP="00123FF4"/>
    <w:p w:rsidR="00FE1390" w:rsidRDefault="00FE1390" w:rsidP="00123FF4"/>
    <w:p w:rsidR="00FE1390" w:rsidRDefault="00FE1390" w:rsidP="00123FF4"/>
    <w:p w:rsidR="00FE1390" w:rsidRDefault="00FE1390" w:rsidP="00123FF4"/>
    <w:p w:rsidR="00FE1390" w:rsidRDefault="00FE1390" w:rsidP="00123FF4"/>
    <w:p w:rsidR="00FE1390" w:rsidRDefault="00FE1390" w:rsidP="00123FF4"/>
    <w:p w:rsidR="00FE1390" w:rsidRDefault="00FE1390" w:rsidP="00123FF4"/>
    <w:p w:rsidR="00FE1390" w:rsidRDefault="00FE1390" w:rsidP="00123FF4"/>
    <w:p w:rsidR="00FE1390" w:rsidRDefault="00FE1390" w:rsidP="00123FF4">
      <w:bookmarkStart w:id="0" w:name="_GoBack"/>
      <w:bookmarkEnd w:id="0"/>
    </w:p>
    <w:sectPr w:rsidR="00FE1390" w:rsidSect="00A07CE5">
      <w:pgSz w:w="11906" w:h="16838"/>
      <w:pgMar w:top="1440"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F5BB8"/>
    <w:multiLevelType w:val="hybridMultilevel"/>
    <w:tmpl w:val="0B787B58"/>
    <w:lvl w:ilvl="0" w:tplc="A2400DF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D450FF1"/>
    <w:multiLevelType w:val="hybridMultilevel"/>
    <w:tmpl w:val="7CE85CE6"/>
    <w:lvl w:ilvl="0" w:tplc="ABD20F34">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0490DDF"/>
    <w:multiLevelType w:val="hybridMultilevel"/>
    <w:tmpl w:val="4F42234A"/>
    <w:lvl w:ilvl="0" w:tplc="B91E6A4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8A60857"/>
    <w:multiLevelType w:val="hybridMultilevel"/>
    <w:tmpl w:val="A322F092"/>
    <w:lvl w:ilvl="0" w:tplc="B91E6A4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D8A09AD"/>
    <w:multiLevelType w:val="hybridMultilevel"/>
    <w:tmpl w:val="A91057E0"/>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51332EF"/>
    <w:multiLevelType w:val="hybridMultilevel"/>
    <w:tmpl w:val="874E1F08"/>
    <w:lvl w:ilvl="0" w:tplc="5C6ACC8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5EE36D92"/>
    <w:multiLevelType w:val="hybridMultilevel"/>
    <w:tmpl w:val="F6386A90"/>
    <w:lvl w:ilvl="0" w:tplc="58B4731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6A365772"/>
    <w:multiLevelType w:val="multilevel"/>
    <w:tmpl w:val="3BDA67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1"/>
  </w:num>
  <w:num w:numId="3">
    <w:abstractNumId w:val="5"/>
  </w:num>
  <w:num w:numId="4">
    <w:abstractNumId w:val="6"/>
  </w:num>
  <w:num w:numId="5">
    <w:abstractNumId w:val="4"/>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FF4"/>
    <w:rsid w:val="000B3A9B"/>
    <w:rsid w:val="000F5B6D"/>
    <w:rsid w:val="00123FF4"/>
    <w:rsid w:val="002F2017"/>
    <w:rsid w:val="00302108"/>
    <w:rsid w:val="00437725"/>
    <w:rsid w:val="00686C82"/>
    <w:rsid w:val="00731D33"/>
    <w:rsid w:val="007A38CC"/>
    <w:rsid w:val="009659DA"/>
    <w:rsid w:val="00993DE7"/>
    <w:rsid w:val="00A04478"/>
    <w:rsid w:val="00A07CE5"/>
    <w:rsid w:val="00BD0064"/>
    <w:rsid w:val="00E6749A"/>
    <w:rsid w:val="00FE139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FD43C"/>
  <w15:chartTrackingRefBased/>
  <w15:docId w15:val="{C6CCA48D-49FC-43F4-AD81-F9BC04921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017"/>
    <w:pPr>
      <w:ind w:left="720"/>
      <w:contextualSpacing/>
    </w:pPr>
  </w:style>
  <w:style w:type="table" w:styleId="TableGrid">
    <w:name w:val="Table Grid"/>
    <w:basedOn w:val="TableNormal"/>
    <w:uiPriority w:val="39"/>
    <w:rsid w:val="00686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4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4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teqip2</dc:creator>
  <cp:keywords/>
  <dc:description/>
  <cp:lastModifiedBy>teqip2</cp:lastModifiedBy>
  <cp:revision>2</cp:revision>
  <cp:lastPrinted>2018-10-17T07:41:00Z</cp:lastPrinted>
  <dcterms:created xsi:type="dcterms:W3CDTF">2018-10-17T07:43:00Z</dcterms:created>
  <dcterms:modified xsi:type="dcterms:W3CDTF">2018-10-17T07:43:00Z</dcterms:modified>
</cp:coreProperties>
</file>